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DA31" w14:textId="209325C3" w:rsidR="00B2413B" w:rsidRPr="00AB7C43" w:rsidRDefault="00014204" w:rsidP="00AB7C43">
      <w:pPr>
        <w:pStyle w:val="Heading1"/>
        <w:rPr>
          <w:rFonts w:ascii="Aptos" w:hAnsi="Aptos"/>
          <w:b/>
          <w:bCs/>
        </w:rPr>
      </w:pPr>
      <w:r w:rsidRPr="00AB7C43">
        <w:rPr>
          <w:rFonts w:ascii="Aptos" w:hAnsi="Aptos"/>
          <w:b/>
          <w:bCs/>
        </w:rPr>
        <w:t>About Us</w:t>
      </w:r>
    </w:p>
    <w:p w14:paraId="03D2D6FD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1A55C530" w14:textId="68ED861D" w:rsidR="00014204" w:rsidRPr="00AB7C43" w:rsidRDefault="00014204" w:rsidP="00014204">
      <w:pPr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The </w:t>
      </w:r>
      <w:r w:rsidR="004C7B2E" w:rsidRPr="00AB7C43">
        <w:rPr>
          <w:rFonts w:ascii="Aptos" w:hAnsi="Aptos"/>
          <w:sz w:val="24"/>
          <w:szCs w:val="24"/>
        </w:rPr>
        <w:t xml:space="preserve">NC </w:t>
      </w:r>
      <w:r w:rsidRPr="00AB7C43">
        <w:rPr>
          <w:rFonts w:ascii="Aptos" w:hAnsi="Aptos"/>
          <w:sz w:val="24"/>
          <w:szCs w:val="24"/>
        </w:rPr>
        <w:t xml:space="preserve">Consortiums for Clinical Education and Practice </w:t>
      </w:r>
      <w:r w:rsidR="000B0F7D" w:rsidRPr="00AB7C43">
        <w:rPr>
          <w:rFonts w:ascii="Aptos" w:hAnsi="Aptos"/>
          <w:sz w:val="24"/>
          <w:szCs w:val="24"/>
        </w:rPr>
        <w:t xml:space="preserve">(CCEP) </w:t>
      </w:r>
      <w:r w:rsidRPr="00AB7C43">
        <w:rPr>
          <w:rFonts w:ascii="Aptos" w:hAnsi="Aptos"/>
          <w:sz w:val="24"/>
          <w:szCs w:val="24"/>
        </w:rPr>
        <w:t xml:space="preserve">were formed </w:t>
      </w:r>
      <w:r w:rsidR="002C7069" w:rsidRPr="00AB7C43">
        <w:rPr>
          <w:rFonts w:ascii="Aptos" w:hAnsi="Aptos"/>
          <w:sz w:val="24"/>
          <w:szCs w:val="24"/>
        </w:rPr>
        <w:t xml:space="preserve">beginning </w:t>
      </w:r>
      <w:r w:rsidRPr="00AB7C43">
        <w:rPr>
          <w:rFonts w:ascii="Aptos" w:hAnsi="Aptos"/>
          <w:sz w:val="24"/>
          <w:szCs w:val="24"/>
        </w:rPr>
        <w:t>in 2008</w:t>
      </w:r>
      <w:r w:rsidR="002C7069" w:rsidRPr="00AB7C43">
        <w:rPr>
          <w:rFonts w:ascii="Aptos" w:hAnsi="Aptos"/>
          <w:sz w:val="24"/>
          <w:szCs w:val="24"/>
        </w:rPr>
        <w:t xml:space="preserve"> with the Triangle Clinical Consortium (TCC)</w:t>
      </w:r>
      <w:r w:rsidRPr="00AB7C43">
        <w:rPr>
          <w:rFonts w:ascii="Aptos" w:hAnsi="Aptos"/>
          <w:sz w:val="24"/>
          <w:szCs w:val="24"/>
        </w:rPr>
        <w:t>, as recommended by the NC I</w:t>
      </w:r>
      <w:r w:rsidR="000B0F7D" w:rsidRPr="00AB7C43">
        <w:rPr>
          <w:rFonts w:ascii="Aptos" w:hAnsi="Aptos"/>
          <w:sz w:val="24"/>
          <w:szCs w:val="24"/>
        </w:rPr>
        <w:t xml:space="preserve">nstitute of </w:t>
      </w:r>
      <w:r w:rsidRPr="00AB7C43">
        <w:rPr>
          <w:rFonts w:ascii="Aptos" w:hAnsi="Aptos"/>
          <w:sz w:val="24"/>
          <w:szCs w:val="24"/>
        </w:rPr>
        <w:t>M</w:t>
      </w:r>
      <w:r w:rsidR="00ED41FA" w:rsidRPr="00AB7C43">
        <w:rPr>
          <w:rFonts w:ascii="Aptos" w:hAnsi="Aptos"/>
          <w:sz w:val="24"/>
          <w:szCs w:val="24"/>
        </w:rPr>
        <w:t>edicine (IOM)</w:t>
      </w:r>
      <w:r w:rsidRPr="00AB7C43">
        <w:rPr>
          <w:rFonts w:ascii="Aptos" w:hAnsi="Aptos"/>
          <w:sz w:val="24"/>
          <w:szCs w:val="24"/>
        </w:rPr>
        <w:t xml:space="preserve">, to address the need for expanding clinical capacity for nursing students and eventually all health care students. Work of the </w:t>
      </w:r>
      <w:r w:rsidR="004C1BE2" w:rsidRPr="00AB7C43">
        <w:rPr>
          <w:rFonts w:ascii="Aptos" w:hAnsi="Aptos"/>
          <w:sz w:val="24"/>
          <w:szCs w:val="24"/>
        </w:rPr>
        <w:t xml:space="preserve">Triangle CCEP </w:t>
      </w:r>
      <w:r w:rsidRPr="00AB7C43">
        <w:rPr>
          <w:rFonts w:ascii="Aptos" w:hAnsi="Aptos"/>
          <w:sz w:val="24"/>
          <w:szCs w:val="24"/>
        </w:rPr>
        <w:t xml:space="preserve">encompasses three areas: </w:t>
      </w:r>
    </w:p>
    <w:p w14:paraId="602A0241" w14:textId="77777777" w:rsidR="00014204" w:rsidRPr="00AB7C43" w:rsidRDefault="00014204" w:rsidP="00AB7C43">
      <w:pPr>
        <w:spacing w:after="0" w:line="240" w:lineRule="auto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>• standardizing and streamlining the clinical faculty/student credentialing process,</w:t>
      </w:r>
    </w:p>
    <w:p w14:paraId="53D5CB66" w14:textId="3F423836" w:rsidR="00014204" w:rsidRPr="00AB7C43" w:rsidRDefault="00014204" w:rsidP="00AB7C43">
      <w:pPr>
        <w:spacing w:after="0" w:line="240" w:lineRule="auto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• developing a standardized common “core” orientation, and </w:t>
      </w:r>
    </w:p>
    <w:p w14:paraId="43C3D69C" w14:textId="77777777" w:rsidR="00014204" w:rsidRPr="00AB7C43" w:rsidRDefault="00014204" w:rsidP="00AB7C43">
      <w:pPr>
        <w:spacing w:after="0" w:line="240" w:lineRule="auto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• streamlining the clinical placement process. </w:t>
      </w:r>
    </w:p>
    <w:p w14:paraId="42971468" w14:textId="77777777" w:rsidR="00014204" w:rsidRPr="00AB7C43" w:rsidRDefault="00014204" w:rsidP="00014204">
      <w:pPr>
        <w:spacing w:after="0" w:line="240" w:lineRule="auto"/>
        <w:rPr>
          <w:rFonts w:ascii="Aptos" w:hAnsi="Aptos"/>
          <w:sz w:val="24"/>
          <w:szCs w:val="24"/>
        </w:rPr>
      </w:pPr>
    </w:p>
    <w:p w14:paraId="11B5F3A9" w14:textId="77777777" w:rsidR="00AB7C43" w:rsidRDefault="00014204" w:rsidP="00014204">
      <w:pPr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b/>
          <w:bCs/>
          <w:sz w:val="24"/>
          <w:szCs w:val="24"/>
        </w:rPr>
        <w:t>Mission</w:t>
      </w:r>
      <w:r w:rsidRPr="00AB7C43">
        <w:rPr>
          <w:rFonts w:ascii="Aptos" w:hAnsi="Aptos"/>
          <w:sz w:val="24"/>
          <w:szCs w:val="24"/>
        </w:rPr>
        <w:t xml:space="preserve">: </w:t>
      </w:r>
    </w:p>
    <w:p w14:paraId="4A0B7DC1" w14:textId="3E16F4B1" w:rsidR="00014204" w:rsidRPr="00AB7C43" w:rsidRDefault="00014204" w:rsidP="00014204">
      <w:pPr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The primary mission of the </w:t>
      </w:r>
      <w:r w:rsidR="00235CCA" w:rsidRPr="00AB7C43">
        <w:rPr>
          <w:rFonts w:ascii="Aptos" w:hAnsi="Aptos"/>
          <w:sz w:val="24"/>
          <w:szCs w:val="24"/>
        </w:rPr>
        <w:t xml:space="preserve">Triangle </w:t>
      </w:r>
      <w:r w:rsidR="00C575B0" w:rsidRPr="00AB7C43">
        <w:rPr>
          <w:rFonts w:ascii="Aptos" w:hAnsi="Aptos"/>
          <w:sz w:val="24"/>
          <w:szCs w:val="24"/>
        </w:rPr>
        <w:t xml:space="preserve">CCEP </w:t>
      </w:r>
      <w:r w:rsidRPr="00AB7C43">
        <w:rPr>
          <w:rFonts w:ascii="Aptos" w:hAnsi="Aptos"/>
          <w:sz w:val="24"/>
          <w:szCs w:val="24"/>
        </w:rPr>
        <w:t xml:space="preserve">is to support and grow the healthcare workforce by addressing clinical placement issues for students’ consortium-affiliated facilities. </w:t>
      </w:r>
    </w:p>
    <w:p w14:paraId="25256132" w14:textId="77777777" w:rsidR="00AB7C43" w:rsidRDefault="00014204" w:rsidP="00014204">
      <w:pPr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b/>
          <w:bCs/>
          <w:sz w:val="24"/>
          <w:szCs w:val="24"/>
        </w:rPr>
        <w:t>Objective</w:t>
      </w:r>
      <w:r w:rsidRPr="00AB7C43">
        <w:rPr>
          <w:rFonts w:ascii="Aptos" w:hAnsi="Aptos"/>
          <w:sz w:val="24"/>
          <w:szCs w:val="24"/>
        </w:rPr>
        <w:t xml:space="preserve">: </w:t>
      </w:r>
    </w:p>
    <w:p w14:paraId="0FECA12B" w14:textId="0C514735" w:rsidR="00014204" w:rsidRPr="00AB7C43" w:rsidRDefault="00014204" w:rsidP="00014204">
      <w:pPr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It is the objective of the </w:t>
      </w:r>
      <w:r w:rsidR="00C575B0" w:rsidRPr="00AB7C43">
        <w:rPr>
          <w:rFonts w:ascii="Aptos" w:hAnsi="Aptos"/>
          <w:sz w:val="24"/>
          <w:szCs w:val="24"/>
        </w:rPr>
        <w:t>T</w:t>
      </w:r>
      <w:r w:rsidRPr="00AB7C43">
        <w:rPr>
          <w:rFonts w:ascii="Aptos" w:hAnsi="Aptos"/>
          <w:sz w:val="24"/>
          <w:szCs w:val="24"/>
        </w:rPr>
        <w:t xml:space="preserve">CCEP that statewide, all health science students and faculty complete a common core orientation currently endorsed by the North Carolina Healthcare Association, housed on the Wake AHEC website. </w:t>
      </w:r>
    </w:p>
    <w:p w14:paraId="01C076D1" w14:textId="3D70AE00" w:rsidR="00014204" w:rsidRPr="00AB7C43" w:rsidRDefault="00014204" w:rsidP="00014204">
      <w:pPr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"NCHA endorses the collaborative work between the partners of the Consortium for Clinical Education and Practice to implement a core orientation and student credentialing passport process. NCHA supports the clinical and academic partners' </w:t>
      </w:r>
      <w:r w:rsidR="00ED41FA" w:rsidRPr="00AB7C43">
        <w:rPr>
          <w:rFonts w:ascii="Aptos" w:hAnsi="Aptos"/>
          <w:sz w:val="24"/>
          <w:szCs w:val="24"/>
        </w:rPr>
        <w:t>goal</w:t>
      </w:r>
      <w:r w:rsidRPr="00AB7C43">
        <w:rPr>
          <w:rFonts w:ascii="Aptos" w:hAnsi="Aptos"/>
          <w:sz w:val="24"/>
          <w:szCs w:val="24"/>
        </w:rPr>
        <w:t xml:space="preserve"> of encouraging statewide adoption of this program for all health science students in hospital-based rotations.” (NCHA Endorsement Statement, 2014).</w:t>
      </w:r>
    </w:p>
    <w:p w14:paraId="6A1A1E14" w14:textId="12112AEB" w:rsidR="00014204" w:rsidRPr="00AB7C43" w:rsidRDefault="00014204" w:rsidP="00014204">
      <w:pPr>
        <w:rPr>
          <w:rFonts w:ascii="Aptos" w:hAnsi="Aptos"/>
          <w:b/>
          <w:bCs/>
          <w:sz w:val="24"/>
          <w:szCs w:val="24"/>
        </w:rPr>
      </w:pPr>
      <w:r w:rsidRPr="00AB7C43">
        <w:rPr>
          <w:rFonts w:ascii="Aptos" w:hAnsi="Aptos"/>
          <w:b/>
          <w:bCs/>
          <w:sz w:val="24"/>
          <w:szCs w:val="24"/>
        </w:rPr>
        <w:t>Management of Mission</w:t>
      </w:r>
    </w:p>
    <w:p w14:paraId="55026165" w14:textId="77777777" w:rsidR="00014204" w:rsidRPr="00AB7C43" w:rsidRDefault="00014204" w:rsidP="00014204">
      <w:pPr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The Triangle Consortium for Clinical Education and Practice is a collaborative and innovative partnership between health care agencies, educational institutions, and AHEC all working together to successfully complete the action plan. </w:t>
      </w:r>
    </w:p>
    <w:p w14:paraId="7E06275B" w14:textId="77777777" w:rsidR="00014204" w:rsidRDefault="00014204" w:rsidP="00014204">
      <w:pPr>
        <w:rPr>
          <w:rFonts w:ascii="Aptos" w:hAnsi="Aptos"/>
          <w:b/>
          <w:bCs/>
          <w:i/>
          <w:iCs/>
          <w:sz w:val="24"/>
          <w:szCs w:val="24"/>
        </w:rPr>
      </w:pPr>
      <w:r w:rsidRPr="00AB7C43">
        <w:rPr>
          <w:rFonts w:ascii="Aptos" w:hAnsi="Aptos"/>
          <w:b/>
          <w:bCs/>
          <w:i/>
          <w:iCs/>
          <w:sz w:val="24"/>
          <w:szCs w:val="24"/>
        </w:rPr>
        <w:t xml:space="preserve">Tag: Facilitating Success: Together </w:t>
      </w:r>
    </w:p>
    <w:p w14:paraId="15DF16EA" w14:textId="77777777" w:rsidR="00AB7C43" w:rsidRPr="00AB7C43" w:rsidRDefault="00AB7C43" w:rsidP="00014204">
      <w:pPr>
        <w:rPr>
          <w:rFonts w:ascii="Aptos" w:hAnsi="Aptos"/>
          <w:b/>
          <w:bCs/>
          <w:i/>
          <w:iCs/>
          <w:sz w:val="24"/>
          <w:szCs w:val="24"/>
        </w:rPr>
      </w:pPr>
    </w:p>
    <w:p w14:paraId="7D7EDEB4" w14:textId="77777777" w:rsidR="00014204" w:rsidRPr="00AB7C43" w:rsidRDefault="00014204" w:rsidP="00014204">
      <w:pPr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lastRenderedPageBreak/>
        <w:t xml:space="preserve">• </w:t>
      </w:r>
      <w:r w:rsidRPr="00AB7C43">
        <w:rPr>
          <w:rFonts w:ascii="Aptos" w:hAnsi="Aptos"/>
          <w:b/>
          <w:bCs/>
          <w:sz w:val="24"/>
          <w:szCs w:val="24"/>
        </w:rPr>
        <w:t>Clinical Partner (Healthcare Agency) Role:</w:t>
      </w:r>
      <w:r w:rsidRPr="00AB7C43">
        <w:rPr>
          <w:rFonts w:ascii="Aptos" w:hAnsi="Aptos"/>
          <w:sz w:val="24"/>
          <w:szCs w:val="24"/>
        </w:rPr>
        <w:t xml:space="preserve"> </w:t>
      </w:r>
    </w:p>
    <w:p w14:paraId="3AD10B2C" w14:textId="7210120A" w:rsidR="00014204" w:rsidRPr="00AB7C43" w:rsidRDefault="00014204" w:rsidP="00AB7C43">
      <w:pPr>
        <w:spacing w:after="0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o sets standards for credentialing requirements </w:t>
      </w:r>
    </w:p>
    <w:p w14:paraId="0BCD45A1" w14:textId="5D11487E" w:rsidR="00014204" w:rsidRPr="00AB7C43" w:rsidRDefault="00014204" w:rsidP="00AB7C43">
      <w:pPr>
        <w:spacing w:after="0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o identifies the core orientation requirements and update annually </w:t>
      </w:r>
    </w:p>
    <w:p w14:paraId="3C427AE9" w14:textId="7702D044" w:rsidR="00014204" w:rsidRPr="00AB7C43" w:rsidRDefault="00014204" w:rsidP="00AB7C43">
      <w:pPr>
        <w:spacing w:after="0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o creates agency specific orientation requirements (if needed) </w:t>
      </w:r>
    </w:p>
    <w:p w14:paraId="5F285A4C" w14:textId="77777777" w:rsidR="00014204" w:rsidRPr="00AB7C43" w:rsidRDefault="00014204" w:rsidP="00014204">
      <w:pPr>
        <w:spacing w:after="0"/>
        <w:rPr>
          <w:rFonts w:ascii="Aptos" w:hAnsi="Aptos"/>
          <w:sz w:val="24"/>
          <w:szCs w:val="24"/>
        </w:rPr>
      </w:pPr>
    </w:p>
    <w:p w14:paraId="3556E6B7" w14:textId="77777777" w:rsidR="00014204" w:rsidRPr="00AB7C43" w:rsidRDefault="00014204" w:rsidP="00014204">
      <w:pPr>
        <w:rPr>
          <w:rFonts w:ascii="Aptos" w:hAnsi="Aptos"/>
          <w:b/>
          <w:bCs/>
          <w:sz w:val="24"/>
          <w:szCs w:val="24"/>
        </w:rPr>
      </w:pPr>
      <w:r w:rsidRPr="00AB7C43">
        <w:rPr>
          <w:rFonts w:ascii="Aptos" w:hAnsi="Aptos"/>
          <w:b/>
          <w:bCs/>
          <w:sz w:val="24"/>
          <w:szCs w:val="24"/>
        </w:rPr>
        <w:t xml:space="preserve">• Academic Partner (Educational Institution) Role: </w:t>
      </w:r>
    </w:p>
    <w:p w14:paraId="13EB1933" w14:textId="1263188D" w:rsidR="00014204" w:rsidRPr="00AB7C43" w:rsidRDefault="00014204" w:rsidP="00AB7C43">
      <w:pPr>
        <w:spacing w:after="0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>o informs faculty and students about credentialing requirements</w:t>
      </w:r>
    </w:p>
    <w:p w14:paraId="54A618DA" w14:textId="4A446D03" w:rsidR="00014204" w:rsidRPr="00AB7C43" w:rsidRDefault="00014204" w:rsidP="00AB7C43">
      <w:pPr>
        <w:spacing w:after="0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o implements credentialing requirements for faculty and students </w:t>
      </w:r>
    </w:p>
    <w:p w14:paraId="481591CB" w14:textId="3D327B04" w:rsidR="00014204" w:rsidRPr="00AB7C43" w:rsidRDefault="00014204" w:rsidP="00AB7C43">
      <w:pPr>
        <w:spacing w:after="0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>o verify that credentialing requirements are met; this may include a contract with an online vendor</w:t>
      </w:r>
    </w:p>
    <w:p w14:paraId="6D870744" w14:textId="77777777" w:rsidR="00014204" w:rsidRPr="00AB7C43" w:rsidRDefault="00014204" w:rsidP="00014204">
      <w:pPr>
        <w:spacing w:after="0"/>
        <w:rPr>
          <w:rFonts w:ascii="Aptos" w:hAnsi="Aptos"/>
          <w:sz w:val="24"/>
          <w:szCs w:val="24"/>
        </w:rPr>
      </w:pPr>
    </w:p>
    <w:p w14:paraId="7EA4D03E" w14:textId="77777777" w:rsidR="00014204" w:rsidRPr="00AB7C43" w:rsidRDefault="00014204" w:rsidP="00014204">
      <w:pPr>
        <w:spacing w:after="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• </w:t>
      </w:r>
      <w:r w:rsidRPr="00AB7C43">
        <w:rPr>
          <w:rFonts w:ascii="Aptos" w:hAnsi="Aptos"/>
          <w:b/>
          <w:bCs/>
          <w:sz w:val="24"/>
          <w:szCs w:val="24"/>
        </w:rPr>
        <w:t>AHEC Role:</w:t>
      </w:r>
      <w:r w:rsidRPr="00AB7C43">
        <w:rPr>
          <w:rFonts w:ascii="Aptos" w:hAnsi="Aptos"/>
          <w:sz w:val="24"/>
          <w:szCs w:val="24"/>
        </w:rPr>
        <w:t xml:space="preserve"> </w:t>
      </w:r>
    </w:p>
    <w:p w14:paraId="3CA78C15" w14:textId="77777777" w:rsidR="00014204" w:rsidRPr="00AB7C43" w:rsidRDefault="00014204" w:rsidP="00AB7C43">
      <w:pPr>
        <w:spacing w:after="0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o convenes and facilitates consortium initiatives and credentialing processes </w:t>
      </w:r>
    </w:p>
    <w:p w14:paraId="75A6A37B" w14:textId="77777777" w:rsidR="00014204" w:rsidRPr="00AB7C43" w:rsidRDefault="00014204" w:rsidP="00AB7C43">
      <w:pPr>
        <w:spacing w:after="0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o sets forth innovative ideas and strategies for consortium group consideration </w:t>
      </w:r>
    </w:p>
    <w:p w14:paraId="0A832570" w14:textId="77777777" w:rsidR="00014204" w:rsidRPr="00AB7C43" w:rsidRDefault="00014204" w:rsidP="00AB7C43">
      <w:pPr>
        <w:spacing w:after="0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o evaluates outcomes </w:t>
      </w:r>
    </w:p>
    <w:p w14:paraId="1921659A" w14:textId="77777777" w:rsidR="0060690F" w:rsidRDefault="00014204" w:rsidP="00AB7C43">
      <w:pPr>
        <w:spacing w:after="0"/>
        <w:ind w:left="720"/>
        <w:rPr>
          <w:rFonts w:ascii="Aptos" w:hAnsi="Aptos"/>
          <w:sz w:val="24"/>
          <w:szCs w:val="24"/>
        </w:rPr>
      </w:pPr>
      <w:r w:rsidRPr="00AB7C43">
        <w:rPr>
          <w:rFonts w:ascii="Aptos" w:hAnsi="Aptos"/>
          <w:sz w:val="24"/>
          <w:szCs w:val="24"/>
        </w:rPr>
        <w:t xml:space="preserve">o promotes and fosters the work statewide through the NC AHEC system </w:t>
      </w:r>
    </w:p>
    <w:p w14:paraId="5AD58DC8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01B0438C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6778AC40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749DA4A3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549D6D88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5FCAB465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47851322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30A8A036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1F2B1102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510B2B79" w14:textId="77777777" w:rsidR="00AB7C43" w:rsidRPr="00AB7C43" w:rsidRDefault="00AB7C43" w:rsidP="00AB7C43">
      <w:pPr>
        <w:rPr>
          <w:rFonts w:ascii="Aptos" w:hAnsi="Aptos"/>
          <w:sz w:val="24"/>
          <w:szCs w:val="24"/>
        </w:rPr>
      </w:pPr>
    </w:p>
    <w:p w14:paraId="07B32D6F" w14:textId="77777777" w:rsidR="00AB7C43" w:rsidRDefault="00AB7C43" w:rsidP="00AB7C43">
      <w:pPr>
        <w:rPr>
          <w:rFonts w:ascii="Aptos" w:hAnsi="Aptos"/>
          <w:sz w:val="24"/>
          <w:szCs w:val="24"/>
        </w:rPr>
      </w:pPr>
    </w:p>
    <w:p w14:paraId="391060D9" w14:textId="77777777" w:rsidR="00AB7C43" w:rsidRPr="00AB7C43" w:rsidRDefault="00AB7C43" w:rsidP="00AB7C43">
      <w:pPr>
        <w:ind w:firstLine="720"/>
        <w:rPr>
          <w:rFonts w:ascii="Aptos" w:hAnsi="Aptos"/>
          <w:sz w:val="24"/>
          <w:szCs w:val="24"/>
        </w:rPr>
      </w:pPr>
    </w:p>
    <w:sectPr w:rsidR="00AB7C43" w:rsidRPr="00AB7C43" w:rsidSect="0001420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60D3" w14:textId="77777777" w:rsidR="00601711" w:rsidRDefault="00601711" w:rsidP="00152F60">
      <w:pPr>
        <w:spacing w:after="0" w:line="240" w:lineRule="auto"/>
      </w:pPr>
      <w:r>
        <w:separator/>
      </w:r>
    </w:p>
  </w:endnote>
  <w:endnote w:type="continuationSeparator" w:id="0">
    <w:p w14:paraId="5A117393" w14:textId="77777777" w:rsidR="00601711" w:rsidRDefault="00601711" w:rsidP="0015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8A34" w14:textId="2AFA7918" w:rsidR="008D61D8" w:rsidRPr="00AB7C43" w:rsidRDefault="008D61D8">
    <w:pPr>
      <w:pStyle w:val="Footer"/>
      <w:rPr>
        <w:i/>
        <w:iCs/>
      </w:rPr>
    </w:pPr>
    <w:r w:rsidRPr="00AB7C43">
      <w:rPr>
        <w:i/>
        <w:iCs/>
      </w:rPr>
      <w:t>Reviewed 10.8.2025</w:t>
    </w:r>
  </w:p>
  <w:p w14:paraId="49C67490" w14:textId="77777777" w:rsidR="008D61D8" w:rsidRDefault="008D6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95D0" w14:textId="77777777" w:rsidR="00601711" w:rsidRDefault="00601711" w:rsidP="00152F60">
      <w:pPr>
        <w:spacing w:after="0" w:line="240" w:lineRule="auto"/>
      </w:pPr>
      <w:r>
        <w:separator/>
      </w:r>
    </w:p>
  </w:footnote>
  <w:footnote w:type="continuationSeparator" w:id="0">
    <w:p w14:paraId="52900281" w14:textId="77777777" w:rsidR="00601711" w:rsidRDefault="00601711" w:rsidP="0015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EAE0" w14:textId="6E23EDA3" w:rsidR="00152F60" w:rsidRDefault="00152F60" w:rsidP="00152F60">
    <w:pPr>
      <w:pStyle w:val="Header"/>
      <w:jc w:val="center"/>
    </w:pPr>
    <w:r w:rsidRPr="00152F60">
      <w:rPr>
        <w:rFonts w:ascii="Calibri" w:eastAsia="Calibri" w:hAnsi="Calibri" w:cs="Times New Roman"/>
        <w:noProof/>
        <w:kern w:val="0"/>
        <w:sz w:val="28"/>
        <w14:ligatures w14:val="none"/>
      </w:rPr>
      <w:drawing>
        <wp:inline distT="0" distB="0" distL="0" distR="0" wp14:anchorId="758F4416" wp14:editId="51E17A84">
          <wp:extent cx="1951184" cy="1682732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943" cy="169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2CE11" w14:textId="61AB77D2" w:rsidR="00152F60" w:rsidRPr="00AB7C43" w:rsidRDefault="00E0577D" w:rsidP="00152F60">
    <w:pPr>
      <w:pStyle w:val="Header"/>
      <w:jc w:val="center"/>
      <w:rPr>
        <w:rFonts w:ascii="Aptos" w:hAnsi="Aptos"/>
        <w:b/>
        <w:bCs/>
        <w:sz w:val="28"/>
        <w:szCs w:val="28"/>
      </w:rPr>
    </w:pPr>
    <w:r w:rsidRPr="00AB7C43">
      <w:rPr>
        <w:rFonts w:ascii="Aptos" w:hAnsi="Aptos"/>
        <w:b/>
        <w:bCs/>
        <w:sz w:val="28"/>
        <w:szCs w:val="28"/>
      </w:rPr>
      <w:t>Triangle Consortium for Clinical Education and Practice</w:t>
    </w:r>
  </w:p>
  <w:p w14:paraId="11A79110" w14:textId="77777777" w:rsidR="00152F60" w:rsidRDefault="00152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Y8BDsoa9wHBX820r3CEf62UPNvPEKOOsbknj3Y9zptrULoZEugj0gQlDUTnD6dmtDtvkDu0mByTlmEpyVW+5g==" w:salt="RRrZJQ3X0jW4gaMGqctq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04"/>
    <w:rsid w:val="00014204"/>
    <w:rsid w:val="000B0F7D"/>
    <w:rsid w:val="00152F60"/>
    <w:rsid w:val="00163777"/>
    <w:rsid w:val="00172C6F"/>
    <w:rsid w:val="00235CCA"/>
    <w:rsid w:val="002C7069"/>
    <w:rsid w:val="00372FB6"/>
    <w:rsid w:val="00426BFC"/>
    <w:rsid w:val="004C1BE2"/>
    <w:rsid w:val="004C7B2E"/>
    <w:rsid w:val="00601711"/>
    <w:rsid w:val="0060690F"/>
    <w:rsid w:val="006266EF"/>
    <w:rsid w:val="007E2C88"/>
    <w:rsid w:val="008D61D8"/>
    <w:rsid w:val="00A36A4D"/>
    <w:rsid w:val="00AB7C43"/>
    <w:rsid w:val="00B2413B"/>
    <w:rsid w:val="00C16244"/>
    <w:rsid w:val="00C575B0"/>
    <w:rsid w:val="00CA521D"/>
    <w:rsid w:val="00E0577D"/>
    <w:rsid w:val="00E6792E"/>
    <w:rsid w:val="00ED41FA"/>
    <w:rsid w:val="00F94DAF"/>
    <w:rsid w:val="00F9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ABEA"/>
  <w15:chartTrackingRefBased/>
  <w15:docId w15:val="{7C45C391-B7EB-422C-9DAF-17B63470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5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F60"/>
  </w:style>
  <w:style w:type="paragraph" w:styleId="Footer">
    <w:name w:val="footer"/>
    <w:basedOn w:val="Normal"/>
    <w:link w:val="FooterChar"/>
    <w:uiPriority w:val="99"/>
    <w:unhideWhenUsed/>
    <w:rsid w:val="0015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367</Words>
  <Characters>2093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and Hospitals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CLARK</dc:creator>
  <cp:keywords/>
  <dc:description/>
  <cp:lastModifiedBy>DORA CARTER</cp:lastModifiedBy>
  <cp:revision>4</cp:revision>
  <dcterms:created xsi:type="dcterms:W3CDTF">2026-04-13T19:47:00Z</dcterms:created>
  <dcterms:modified xsi:type="dcterms:W3CDTF">2026-04-16T18:52:00Z</dcterms:modified>
</cp:coreProperties>
</file>